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DC" w:rsidRPr="00CA38DC" w:rsidRDefault="00CA38DC" w:rsidP="00CA38DC">
      <w:pPr>
        <w:tabs>
          <w:tab w:val="left" w:pos="3240"/>
        </w:tabs>
        <w:spacing w:line="360" w:lineRule="exact"/>
        <w:jc w:val="left"/>
        <w:rPr>
          <w:rFonts w:ascii="仿宋" w:eastAsia="仿宋" w:hAnsi="仿宋"/>
          <w:sz w:val="24"/>
        </w:rPr>
      </w:pPr>
      <w:r w:rsidRPr="00CA38DC">
        <w:rPr>
          <w:rFonts w:ascii="仿宋" w:eastAsia="仿宋" w:hAnsi="仿宋" w:hint="eastAsia"/>
          <w:sz w:val="24"/>
        </w:rPr>
        <w:t>证券代码：</w:t>
      </w:r>
      <w:r w:rsidRPr="00CA38DC">
        <w:rPr>
          <w:rFonts w:ascii="仿宋" w:eastAsia="仿宋" w:hAnsi="仿宋"/>
          <w:sz w:val="24"/>
        </w:rPr>
        <w:t xml:space="preserve">000531 </w:t>
      </w:r>
      <w:r>
        <w:rPr>
          <w:rFonts w:ascii="仿宋" w:eastAsia="仿宋" w:hAnsi="仿宋" w:hint="eastAsia"/>
          <w:sz w:val="24"/>
        </w:rPr>
        <w:t xml:space="preserve">          </w:t>
      </w:r>
      <w:r w:rsidRPr="00CA38DC">
        <w:rPr>
          <w:rFonts w:ascii="仿宋" w:eastAsia="仿宋" w:hAnsi="仿宋"/>
          <w:sz w:val="24"/>
        </w:rPr>
        <w:t>证券简称：穗恒运 A</w:t>
      </w:r>
      <w:r>
        <w:rPr>
          <w:rFonts w:ascii="仿宋" w:eastAsia="仿宋" w:hAnsi="仿宋" w:hint="eastAsia"/>
          <w:sz w:val="24"/>
        </w:rPr>
        <w:t xml:space="preserve">     </w:t>
      </w:r>
      <w:r w:rsidRPr="00CA38DC">
        <w:rPr>
          <w:rFonts w:ascii="仿宋" w:eastAsia="仿宋" w:hAnsi="仿宋"/>
          <w:sz w:val="24"/>
        </w:rPr>
        <w:t xml:space="preserve"> 公告编号：</w:t>
      </w:r>
      <w:r>
        <w:rPr>
          <w:rFonts w:ascii="仿宋" w:eastAsia="仿宋" w:hAnsi="仿宋"/>
          <w:sz w:val="24"/>
        </w:rPr>
        <w:t>202</w:t>
      </w:r>
      <w:r w:rsidR="002408D9"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/>
          <w:sz w:val="24"/>
        </w:rPr>
        <w:t>-0</w:t>
      </w:r>
      <w:r w:rsidR="00C963FC">
        <w:rPr>
          <w:rFonts w:ascii="仿宋" w:eastAsia="仿宋" w:hAnsi="仿宋" w:hint="eastAsia"/>
          <w:sz w:val="24"/>
        </w:rPr>
        <w:t>40</w:t>
      </w:r>
    </w:p>
    <w:p w:rsidR="00CA38DC" w:rsidRPr="002408D9" w:rsidRDefault="00CA38DC" w:rsidP="00CA38DC">
      <w:pPr>
        <w:tabs>
          <w:tab w:val="left" w:pos="3240"/>
        </w:tabs>
        <w:spacing w:line="360" w:lineRule="exact"/>
        <w:jc w:val="left"/>
        <w:rPr>
          <w:rFonts w:ascii="仿宋" w:eastAsia="仿宋" w:hAnsi="仿宋"/>
          <w:b/>
          <w:sz w:val="24"/>
        </w:rPr>
      </w:pPr>
    </w:p>
    <w:p w:rsidR="0073290C" w:rsidRPr="00CA38DC" w:rsidRDefault="00453F83" w:rsidP="002408D9">
      <w:pPr>
        <w:tabs>
          <w:tab w:val="left" w:pos="3240"/>
        </w:tabs>
        <w:jc w:val="center"/>
        <w:rPr>
          <w:rFonts w:ascii="黑体" w:eastAsia="黑体" w:hAnsi="黑体"/>
          <w:b/>
          <w:sz w:val="32"/>
          <w:szCs w:val="32"/>
        </w:rPr>
      </w:pPr>
      <w:r w:rsidRPr="00CA38DC">
        <w:rPr>
          <w:rFonts w:ascii="黑体" w:eastAsia="黑体" w:hAnsi="黑体" w:hint="eastAsia"/>
          <w:b/>
          <w:sz w:val="32"/>
          <w:szCs w:val="32"/>
        </w:rPr>
        <w:t>广州恒运企业集团</w:t>
      </w:r>
      <w:r w:rsidR="00AE5118" w:rsidRPr="00CA38DC">
        <w:rPr>
          <w:rFonts w:ascii="黑体" w:eastAsia="黑体" w:hAnsi="黑体" w:hint="eastAsia"/>
          <w:b/>
          <w:sz w:val="32"/>
          <w:szCs w:val="32"/>
        </w:rPr>
        <w:t>股份有限公司</w:t>
      </w:r>
    </w:p>
    <w:p w:rsidR="00AE5118" w:rsidRPr="00CA38DC" w:rsidRDefault="00C963FC" w:rsidP="002408D9">
      <w:pPr>
        <w:tabs>
          <w:tab w:val="left" w:pos="3240"/>
        </w:tabs>
        <w:jc w:val="center"/>
        <w:rPr>
          <w:rFonts w:ascii="黑体" w:eastAsia="黑体" w:hAnsi="黑体"/>
          <w:b/>
          <w:sz w:val="32"/>
          <w:szCs w:val="32"/>
        </w:rPr>
      </w:pPr>
      <w:r w:rsidRPr="00C963FC">
        <w:rPr>
          <w:rFonts w:ascii="黑体" w:eastAsia="黑体" w:hAnsi="黑体" w:hint="eastAsia"/>
          <w:b/>
          <w:sz w:val="32"/>
          <w:szCs w:val="32"/>
        </w:rPr>
        <w:t>关于控股股东参与转融通证券出借业务的公告</w:t>
      </w:r>
    </w:p>
    <w:p w:rsidR="00AE5118" w:rsidRPr="00A45B2D" w:rsidRDefault="00AE5118" w:rsidP="00AE5118">
      <w:pPr>
        <w:tabs>
          <w:tab w:val="left" w:pos="3240"/>
        </w:tabs>
        <w:spacing w:line="360" w:lineRule="exact"/>
        <w:ind w:firstLineChars="250" w:firstLine="700"/>
        <w:jc w:val="left"/>
        <w:rPr>
          <w:rFonts w:ascii="仿宋" w:eastAsia="仿宋" w:hAnsi="仿宋"/>
          <w:sz w:val="18"/>
          <w:szCs w:val="18"/>
        </w:rPr>
      </w:pPr>
      <w:r w:rsidRPr="00A45B2D">
        <w:rPr>
          <w:rFonts w:ascii="仿宋" w:eastAsia="仿宋" w:hAnsi="仿宋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7FD7F" wp14:editId="7364D3AA">
                <wp:simplePos x="0" y="0"/>
                <wp:positionH relativeFrom="column">
                  <wp:posOffset>-116457</wp:posOffset>
                </wp:positionH>
                <wp:positionV relativeFrom="paragraph">
                  <wp:posOffset>44569</wp:posOffset>
                </wp:positionV>
                <wp:extent cx="5600700" cy="810883"/>
                <wp:effectExtent l="0" t="0" r="19050" b="27940"/>
                <wp:wrapNone/>
                <wp:docPr id="4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8108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5118" w:rsidRPr="00400DA0" w:rsidRDefault="00AE5118" w:rsidP="00400DA0">
                            <w:pPr>
                              <w:ind w:firstLineChars="200" w:firstLine="560"/>
                              <w:rPr>
                                <w:rFonts w:ascii="华文仿宋" w:eastAsia="华文仿宋" w:hAnsi="华文仿宋"/>
                              </w:rPr>
                            </w:pPr>
                            <w:r w:rsidRPr="00400DA0">
                              <w:rPr>
                                <w:rFonts w:ascii="华文仿宋" w:eastAsia="华文仿宋" w:hAnsi="华文仿宋" w:hint="eastAsia"/>
                              </w:rPr>
                              <w:t>本公司及董事会全体成员保证信息披露的内容真实、准确、完整，没有虚假记载、误导性陈述或重大遗漏。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left:0;text-align:left;margin-left:-9.15pt;margin-top:3.5pt;width:441pt;height:6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">
                <v:textbox>
                  <w:txbxContent>
                    <w:p w:rsidR="00AE5118" w:rsidRPr="00400DA0" w:rsidRDefault="00AE5118" w:rsidP="00400DA0">
                      <w:pPr>
                        <w:ind w:firstLineChars="200" w:firstLine="560"/>
                        <w:rPr>
                          <w:rFonts w:ascii="华文仿宋" w:eastAsia="华文仿宋" w:hAnsi="华文仿宋"/>
                        </w:rPr>
                      </w:pPr>
                      <w:r w:rsidRPr="00400DA0">
                        <w:rPr>
                          <w:rFonts w:ascii="华文仿宋" w:eastAsia="华文仿宋" w:hAnsi="华文仿宋" w:hint="eastAsia"/>
                        </w:rPr>
                        <w:t>本公司及董事会全体成员保证信息披露的内容真实、准确、完整，没有虚假记载、误导性陈述或重大遗漏。</w:t>
                      </w:r>
                    </w:p>
                  </w:txbxContent>
                </v:textbox>
              </v:rect>
            </w:pict>
          </mc:Fallback>
        </mc:AlternateContent>
      </w:r>
    </w:p>
    <w:p w:rsidR="00AE5118" w:rsidRPr="00A45B2D" w:rsidRDefault="00AE5118" w:rsidP="00AE5118">
      <w:pPr>
        <w:tabs>
          <w:tab w:val="left" w:pos="3240"/>
        </w:tabs>
        <w:spacing w:line="360" w:lineRule="exact"/>
        <w:ind w:firstLineChars="250" w:firstLine="450"/>
        <w:jc w:val="left"/>
        <w:rPr>
          <w:rFonts w:ascii="仿宋" w:eastAsia="仿宋" w:hAnsi="仿宋"/>
          <w:sz w:val="18"/>
          <w:szCs w:val="18"/>
        </w:rPr>
      </w:pPr>
    </w:p>
    <w:p w:rsidR="00AE5118" w:rsidRPr="00A45B2D" w:rsidRDefault="00AE5118" w:rsidP="00AE5118">
      <w:pPr>
        <w:tabs>
          <w:tab w:val="left" w:pos="3240"/>
        </w:tabs>
        <w:spacing w:line="360" w:lineRule="exact"/>
        <w:jc w:val="left"/>
        <w:rPr>
          <w:rFonts w:ascii="仿宋" w:eastAsia="仿宋" w:hAnsi="仿宋"/>
          <w:sz w:val="18"/>
          <w:szCs w:val="18"/>
        </w:rPr>
      </w:pPr>
    </w:p>
    <w:p w:rsidR="00AE5118" w:rsidRPr="00A45B2D" w:rsidRDefault="00AE5118" w:rsidP="00AE5118">
      <w:pPr>
        <w:tabs>
          <w:tab w:val="left" w:pos="3240"/>
        </w:tabs>
        <w:spacing w:line="360" w:lineRule="exact"/>
        <w:ind w:firstLineChars="214" w:firstLine="516"/>
        <w:jc w:val="left"/>
        <w:rPr>
          <w:rFonts w:ascii="仿宋" w:eastAsia="仿宋" w:hAnsi="仿宋"/>
          <w:b/>
          <w:sz w:val="24"/>
        </w:rPr>
      </w:pPr>
    </w:p>
    <w:p w:rsidR="009C12CE" w:rsidRPr="009C12CE" w:rsidRDefault="00C963FC" w:rsidP="00F36DA2">
      <w:pPr>
        <w:tabs>
          <w:tab w:val="left" w:pos="3240"/>
        </w:tabs>
        <w:ind w:firstLineChars="220" w:firstLine="616"/>
        <w:jc w:val="left"/>
        <w:rPr>
          <w:rFonts w:ascii="华文仿宋" w:eastAsia="华文仿宋" w:hAnsi="华文仿宋"/>
          <w:szCs w:val="28"/>
        </w:rPr>
      </w:pPr>
      <w:r w:rsidRPr="00C963FC">
        <w:rPr>
          <w:rFonts w:ascii="华文仿宋" w:eastAsia="华文仿宋" w:hAnsi="华文仿宋" w:hint="eastAsia"/>
          <w:szCs w:val="28"/>
        </w:rPr>
        <w:t>广州恒运企业集团股份有限公司（以下简称“公司”</w:t>
      </w:r>
      <w:r>
        <w:rPr>
          <w:rFonts w:ascii="华文仿宋" w:eastAsia="华文仿宋" w:hAnsi="华文仿宋" w:hint="eastAsia"/>
          <w:szCs w:val="28"/>
        </w:rPr>
        <w:t>、“本公司”</w:t>
      </w:r>
      <w:r w:rsidRPr="00C963FC">
        <w:rPr>
          <w:rFonts w:ascii="华文仿宋" w:eastAsia="华文仿宋" w:hAnsi="华文仿宋" w:hint="eastAsia"/>
          <w:szCs w:val="28"/>
        </w:rPr>
        <w:t>）于</w:t>
      </w:r>
      <w:r w:rsidRPr="00C963FC">
        <w:rPr>
          <w:rFonts w:ascii="华文仿宋" w:eastAsia="华文仿宋" w:hAnsi="华文仿宋"/>
          <w:szCs w:val="28"/>
        </w:rPr>
        <w:t xml:space="preserve"> 2021 年 4月2</w:t>
      </w:r>
      <w:r>
        <w:rPr>
          <w:rFonts w:ascii="华文仿宋" w:eastAsia="华文仿宋" w:hAnsi="华文仿宋" w:hint="eastAsia"/>
          <w:szCs w:val="28"/>
        </w:rPr>
        <w:t>3</w:t>
      </w:r>
      <w:r w:rsidRPr="00C963FC">
        <w:rPr>
          <w:rFonts w:ascii="华文仿宋" w:eastAsia="华文仿宋" w:hAnsi="华文仿宋"/>
          <w:szCs w:val="28"/>
        </w:rPr>
        <w:t>日接到广州开发区控股集团有限公司（以下简称“开发区控股”）参与转融通证券出借交易的通知。</w:t>
      </w:r>
    </w:p>
    <w:p w:rsidR="00AE5118" w:rsidRPr="002408D9" w:rsidRDefault="00C963FC" w:rsidP="002408D9">
      <w:pPr>
        <w:tabs>
          <w:tab w:val="left" w:pos="3240"/>
        </w:tabs>
        <w:ind w:firstLineChars="214" w:firstLine="599"/>
        <w:jc w:val="left"/>
        <w:rPr>
          <w:rFonts w:ascii="华文仿宋" w:eastAsia="华文仿宋" w:hAnsi="华文仿宋"/>
          <w:szCs w:val="28"/>
        </w:rPr>
      </w:pPr>
      <w:r w:rsidRPr="00C963FC">
        <w:rPr>
          <w:rFonts w:ascii="华文仿宋" w:eastAsia="华文仿宋" w:hAnsi="华文仿宋" w:hint="eastAsia"/>
          <w:szCs w:val="28"/>
        </w:rPr>
        <w:t>广州开发区控股集团有限公司（以下简称“开发区控股”）为</w:t>
      </w:r>
      <w:r>
        <w:rPr>
          <w:rFonts w:ascii="华文仿宋" w:eastAsia="华文仿宋" w:hAnsi="华文仿宋" w:hint="eastAsia"/>
          <w:szCs w:val="28"/>
        </w:rPr>
        <w:t>公司</w:t>
      </w:r>
      <w:r w:rsidRPr="00C963FC">
        <w:rPr>
          <w:rFonts w:ascii="华文仿宋" w:eastAsia="华文仿宋" w:hAnsi="华文仿宋" w:hint="eastAsia"/>
          <w:szCs w:val="28"/>
        </w:rPr>
        <w:t>第一大股东，现持有公司股份</w:t>
      </w:r>
      <w:r w:rsidRPr="00C963FC">
        <w:rPr>
          <w:rFonts w:ascii="华文仿宋" w:eastAsia="华文仿宋" w:hAnsi="华文仿宋"/>
          <w:szCs w:val="28"/>
        </w:rPr>
        <w:t>178,914,740股，占公司总股本的26.12％。</w:t>
      </w:r>
      <w:r w:rsidRPr="00C963FC">
        <w:rPr>
          <w:rFonts w:ascii="华文仿宋" w:eastAsia="华文仿宋" w:hAnsi="华文仿宋" w:hint="eastAsia"/>
          <w:szCs w:val="28"/>
        </w:rPr>
        <w:t>开发区控股已通过董事会审议，同意将</w:t>
      </w:r>
      <w:r>
        <w:rPr>
          <w:rFonts w:ascii="华文仿宋" w:eastAsia="华文仿宋" w:hAnsi="华文仿宋" w:hint="eastAsia"/>
          <w:szCs w:val="28"/>
        </w:rPr>
        <w:t>该公司</w:t>
      </w:r>
      <w:r w:rsidRPr="00C963FC">
        <w:rPr>
          <w:rFonts w:ascii="华文仿宋" w:eastAsia="华文仿宋" w:hAnsi="华文仿宋" w:hint="eastAsia"/>
          <w:szCs w:val="28"/>
        </w:rPr>
        <w:t>持有的部分</w:t>
      </w:r>
      <w:r>
        <w:rPr>
          <w:rFonts w:ascii="华文仿宋" w:eastAsia="华文仿宋" w:hAnsi="华文仿宋" w:hint="eastAsia"/>
          <w:szCs w:val="28"/>
        </w:rPr>
        <w:t>本</w:t>
      </w:r>
      <w:r w:rsidRPr="00C963FC">
        <w:rPr>
          <w:rFonts w:ascii="华文仿宋" w:eastAsia="华文仿宋" w:hAnsi="华文仿宋" w:hint="eastAsia"/>
          <w:szCs w:val="28"/>
        </w:rPr>
        <w:t>公司股份用于转融通出借业务，出借股份数不超过转融通业务相关规定的可出借股份范围之内。截至</w:t>
      </w:r>
      <w:r w:rsidRPr="00C963FC">
        <w:rPr>
          <w:rFonts w:ascii="华文仿宋" w:eastAsia="华文仿宋" w:hAnsi="华文仿宋"/>
          <w:szCs w:val="28"/>
        </w:rPr>
        <w:t>2021年4月23日，开发区控股持有的</w:t>
      </w:r>
      <w:r>
        <w:rPr>
          <w:rFonts w:ascii="华文仿宋" w:eastAsia="华文仿宋" w:hAnsi="华文仿宋" w:hint="eastAsia"/>
          <w:szCs w:val="28"/>
        </w:rPr>
        <w:t>本公司</w:t>
      </w:r>
      <w:r w:rsidRPr="00C963FC">
        <w:rPr>
          <w:rFonts w:ascii="华文仿宋" w:eastAsia="华文仿宋" w:hAnsi="华文仿宋"/>
          <w:szCs w:val="28"/>
        </w:rPr>
        <w:t>股份用于转融通出借的股份数为255.6万股，出借比例占开发区控股持有</w:t>
      </w:r>
      <w:r>
        <w:rPr>
          <w:rFonts w:ascii="华文仿宋" w:eastAsia="华文仿宋" w:hAnsi="华文仿宋" w:hint="eastAsia"/>
          <w:szCs w:val="28"/>
        </w:rPr>
        <w:t>本公司</w:t>
      </w:r>
      <w:r w:rsidRPr="00C963FC">
        <w:rPr>
          <w:rFonts w:ascii="华文仿宋" w:eastAsia="华文仿宋" w:hAnsi="华文仿宋"/>
          <w:szCs w:val="28"/>
        </w:rPr>
        <w:t>股份的1.43%，占</w:t>
      </w:r>
      <w:r>
        <w:rPr>
          <w:rFonts w:ascii="华文仿宋" w:eastAsia="华文仿宋" w:hAnsi="华文仿宋" w:hint="eastAsia"/>
          <w:szCs w:val="28"/>
        </w:rPr>
        <w:t>本</w:t>
      </w:r>
      <w:r w:rsidRPr="00C963FC">
        <w:rPr>
          <w:rFonts w:ascii="华文仿宋" w:eastAsia="华文仿宋" w:hAnsi="华文仿宋"/>
          <w:szCs w:val="28"/>
        </w:rPr>
        <w:t>公司总股本的0.37%。出借到期后开发区控股将回收出借的股份，该部分股份所有权未发生转移。</w:t>
      </w:r>
    </w:p>
    <w:p w:rsidR="00AE5118" w:rsidRPr="002408D9" w:rsidRDefault="00C963FC" w:rsidP="002408D9">
      <w:pPr>
        <w:tabs>
          <w:tab w:val="left" w:pos="3240"/>
        </w:tabs>
        <w:ind w:firstLineChars="250" w:firstLine="700"/>
        <w:jc w:val="left"/>
        <w:rPr>
          <w:rFonts w:ascii="华文仿宋" w:eastAsia="华文仿宋" w:hAnsi="华文仿宋"/>
          <w:szCs w:val="28"/>
        </w:rPr>
      </w:pPr>
      <w:r>
        <w:rPr>
          <w:rFonts w:ascii="华文仿宋" w:eastAsia="华文仿宋" w:hAnsi="华文仿宋" w:hint="eastAsia"/>
          <w:szCs w:val="28"/>
        </w:rPr>
        <w:t>特此公告。</w:t>
      </w:r>
    </w:p>
    <w:p w:rsidR="00AE5118" w:rsidRPr="002408D9" w:rsidRDefault="00CA38DC" w:rsidP="002408D9">
      <w:pPr>
        <w:tabs>
          <w:tab w:val="left" w:pos="3240"/>
        </w:tabs>
        <w:ind w:firstLineChars="250" w:firstLine="700"/>
        <w:jc w:val="right"/>
        <w:rPr>
          <w:rFonts w:ascii="华文仿宋" w:eastAsia="华文仿宋" w:hAnsi="华文仿宋"/>
          <w:szCs w:val="28"/>
        </w:rPr>
      </w:pPr>
      <w:r w:rsidRPr="002408D9">
        <w:rPr>
          <w:rFonts w:ascii="华文仿宋" w:eastAsia="华文仿宋" w:hAnsi="华文仿宋" w:hint="eastAsia"/>
          <w:szCs w:val="28"/>
        </w:rPr>
        <w:t>广州恒运企业集</w:t>
      </w:r>
      <w:bookmarkStart w:id="0" w:name="_GoBack"/>
      <w:bookmarkEnd w:id="0"/>
      <w:r w:rsidRPr="002408D9">
        <w:rPr>
          <w:rFonts w:ascii="华文仿宋" w:eastAsia="华文仿宋" w:hAnsi="华文仿宋" w:hint="eastAsia"/>
          <w:szCs w:val="28"/>
        </w:rPr>
        <w:t>团股份有限公司董事会</w:t>
      </w:r>
    </w:p>
    <w:p w:rsidR="00603083" w:rsidRPr="002408D9" w:rsidRDefault="00CA38DC" w:rsidP="002408D9">
      <w:pPr>
        <w:tabs>
          <w:tab w:val="left" w:pos="3240"/>
        </w:tabs>
        <w:ind w:right="720" w:firstLineChars="250" w:firstLine="700"/>
        <w:jc w:val="center"/>
        <w:rPr>
          <w:rFonts w:ascii="华文仿宋" w:eastAsia="华文仿宋" w:hAnsi="华文仿宋"/>
          <w:szCs w:val="28"/>
        </w:rPr>
      </w:pPr>
      <w:r w:rsidRPr="002408D9">
        <w:rPr>
          <w:rFonts w:ascii="华文仿宋" w:eastAsia="华文仿宋" w:hAnsi="华文仿宋" w:hint="eastAsia"/>
          <w:szCs w:val="28"/>
        </w:rPr>
        <w:t xml:space="preserve">    </w:t>
      </w:r>
      <w:r w:rsidR="002408D9">
        <w:rPr>
          <w:rFonts w:ascii="华文仿宋" w:eastAsia="华文仿宋" w:hAnsi="华文仿宋" w:hint="eastAsia"/>
          <w:szCs w:val="28"/>
        </w:rPr>
        <w:t xml:space="preserve">                           </w:t>
      </w:r>
      <w:r w:rsidRPr="002408D9">
        <w:rPr>
          <w:rFonts w:ascii="华文仿宋" w:eastAsia="华文仿宋" w:hAnsi="华文仿宋" w:hint="eastAsia"/>
          <w:szCs w:val="28"/>
        </w:rPr>
        <w:t xml:space="preserve"> </w:t>
      </w:r>
      <w:r w:rsidR="002408D9">
        <w:rPr>
          <w:rFonts w:ascii="华文仿宋" w:eastAsia="华文仿宋" w:hAnsi="华文仿宋" w:hint="eastAsia"/>
          <w:szCs w:val="28"/>
        </w:rPr>
        <w:t>2021</w:t>
      </w:r>
      <w:r w:rsidR="00AE5118" w:rsidRPr="002408D9">
        <w:rPr>
          <w:rFonts w:ascii="华文仿宋" w:eastAsia="华文仿宋" w:hAnsi="华文仿宋" w:hint="eastAsia"/>
          <w:szCs w:val="28"/>
        </w:rPr>
        <w:t>年</w:t>
      </w:r>
      <w:r w:rsidR="002408D9">
        <w:rPr>
          <w:rFonts w:ascii="华文仿宋" w:eastAsia="华文仿宋" w:hAnsi="华文仿宋" w:hint="eastAsia"/>
          <w:szCs w:val="28"/>
        </w:rPr>
        <w:t>4</w:t>
      </w:r>
      <w:r w:rsidR="00AE5118" w:rsidRPr="002408D9">
        <w:rPr>
          <w:rFonts w:ascii="华文仿宋" w:eastAsia="华文仿宋" w:hAnsi="华文仿宋" w:hint="eastAsia"/>
          <w:szCs w:val="28"/>
        </w:rPr>
        <w:t>月</w:t>
      </w:r>
      <w:r w:rsidR="00C963FC">
        <w:rPr>
          <w:rFonts w:ascii="华文仿宋" w:eastAsia="华文仿宋" w:hAnsi="华文仿宋" w:hint="eastAsia"/>
          <w:szCs w:val="28"/>
        </w:rPr>
        <w:t>23</w:t>
      </w:r>
      <w:r w:rsidR="00AE5118" w:rsidRPr="002408D9">
        <w:rPr>
          <w:rFonts w:ascii="华文仿宋" w:eastAsia="华文仿宋" w:hAnsi="华文仿宋" w:hint="eastAsia"/>
          <w:szCs w:val="28"/>
        </w:rPr>
        <w:t>日</w:t>
      </w:r>
    </w:p>
    <w:sectPr w:rsidR="00603083" w:rsidRPr="00240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7FB" w:rsidRDefault="00A617FB" w:rsidP="00AE5118">
      <w:r>
        <w:separator/>
      </w:r>
    </w:p>
  </w:footnote>
  <w:footnote w:type="continuationSeparator" w:id="0">
    <w:p w:rsidR="00A617FB" w:rsidRDefault="00A617FB" w:rsidP="00AE5118">
      <w:r>
        <w:continuationSeparator/>
      </w:r>
    </w:p>
  </w:footnote>
</w:footnote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118"/>
    <w:pPr>
      <w:widowControl w:val="0"/>
      <w:jc w:val="both"/>
    </w:pPr>
    <w:rPr>
      <w:rFonts w:ascii="宋体" w:eastAsia="宋体" w:hAnsi="宋体" w:cs="Times New Roman"/>
      <w:sz w:val="28"/>
      <w:szCs w:val="24"/>
    </w:rPr>
  </w:style>
  <w:style w:type="paragraph" w:styleId="1">
    <w:name w:val="heading 1"/>
    <w:aliases w:val="H1"/>
    <w:basedOn w:val="a"/>
    <w:next w:val="a"/>
    <w:link w:val="1Char"/>
    <w:qFormat/>
    <w:rsid w:val="00AE5118"/>
    <w:pPr>
      <w:keepNext/>
      <w:keepLines/>
      <w:spacing w:before="340" w:after="330" w:line="576" w:lineRule="auto"/>
      <w:outlineLvl w:val="0"/>
    </w:pPr>
    <w:rPr>
      <w:rFonts w:ascii="Times New Roman" w:hAnsi="Times New Roman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5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51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51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5118"/>
    <w:rPr>
      <w:sz w:val="18"/>
      <w:szCs w:val="18"/>
    </w:rPr>
  </w:style>
  <w:style w:type="character" w:customStyle="1" w:styleId="1Char">
    <w:name w:val="标题 1 Char"/>
    <w:aliases w:val="H1 Char"/>
    <w:basedOn w:val="a0"/>
    <w:link w:val="1"/>
    <w:rsid w:val="00AE5118"/>
    <w:rPr>
      <w:rFonts w:ascii="Times New Roman" w:eastAsia="宋体" w:hAnsi="Times New Roman" w:cs="Times New Roman"/>
      <w:kern w:val="44"/>
      <w:sz w:val="44"/>
      <w:szCs w:val="44"/>
    </w:rPr>
  </w:style>
  <w:style w:type="paragraph" w:customStyle="1" w:styleId="Char1">
    <w:name w:val="Char"/>
    <w:basedOn w:val="a"/>
    <w:rsid w:val="00453F83"/>
    <w:rPr>
      <w:rFonts w:ascii="Times New Roman" w:hAnsi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廖铁强</cp:lastModifiedBy>
  <cp:revision>3</cp:revision>
  <cp:lastPrinted>2021-04-14T09:42:00Z</cp:lastPrinted>
  <dcterms:created xsi:type="dcterms:W3CDTF">2021-04-23T09:00:00Z</dcterms:created>
  <dcterms:modified xsi:type="dcterms:W3CDTF">2021-04-23T09:05:00Z</dcterms:modified>
</cp:coreProperties>
</file>