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E3A" w:rsidRPr="00104E3A" w:rsidRDefault="00104E3A" w:rsidP="00104E3A">
      <w:pPr>
        <w:widowControl/>
        <w:shd w:val="clear" w:color="auto" w:fill="FFFFFF"/>
        <w:jc w:val="center"/>
        <w:rPr>
          <w:rFonts w:ascii="黑体" w:eastAsia="黑体" w:hAnsi="黑体" w:cs="Arial"/>
          <w:b/>
          <w:color w:val="000000"/>
          <w:kern w:val="0"/>
          <w:sz w:val="30"/>
          <w:szCs w:val="30"/>
        </w:rPr>
      </w:pPr>
      <w:r w:rsidRPr="00104E3A">
        <w:rPr>
          <w:rFonts w:ascii="黑体" w:eastAsia="黑体" w:hAnsi="黑体" w:cs="Arial"/>
          <w:b/>
          <w:color w:val="000000"/>
          <w:kern w:val="0"/>
          <w:sz w:val="30"/>
          <w:szCs w:val="30"/>
        </w:rPr>
        <w:t>广州恒运企业集团股份有限公司</w:t>
      </w:r>
    </w:p>
    <w:p w:rsidR="00104E3A" w:rsidRPr="00104E3A" w:rsidRDefault="00104E3A" w:rsidP="00104E3A">
      <w:pPr>
        <w:widowControl/>
        <w:shd w:val="clear" w:color="auto" w:fill="FFFFFF"/>
        <w:jc w:val="center"/>
        <w:rPr>
          <w:rFonts w:ascii="黑体" w:eastAsia="黑体" w:hAnsi="黑体" w:cs="Arial"/>
          <w:b/>
          <w:color w:val="000000"/>
          <w:kern w:val="0"/>
          <w:sz w:val="30"/>
          <w:szCs w:val="30"/>
        </w:rPr>
      </w:pPr>
      <w:r w:rsidRPr="00104E3A">
        <w:rPr>
          <w:rFonts w:ascii="黑体" w:eastAsia="黑体" w:hAnsi="黑体" w:cs="Arial"/>
          <w:b/>
          <w:color w:val="000000"/>
          <w:kern w:val="0"/>
          <w:sz w:val="30"/>
          <w:szCs w:val="30"/>
        </w:rPr>
        <w:t>未来三年（</w:t>
      </w:r>
      <w:r w:rsidRPr="00104E3A">
        <w:rPr>
          <w:rFonts w:ascii="黑体" w:eastAsia="黑体" w:hAnsi="黑体" w:cs="Courier New"/>
          <w:b/>
          <w:color w:val="000000"/>
          <w:kern w:val="0"/>
          <w:sz w:val="30"/>
          <w:szCs w:val="30"/>
        </w:rPr>
        <w:t>2024年-2026年</w:t>
      </w:r>
      <w:r w:rsidRPr="00104E3A">
        <w:rPr>
          <w:rFonts w:ascii="黑体" w:eastAsia="黑体" w:hAnsi="黑体" w:cs="Arial"/>
          <w:b/>
          <w:color w:val="000000"/>
          <w:kern w:val="0"/>
          <w:sz w:val="30"/>
          <w:szCs w:val="30"/>
        </w:rPr>
        <w:t>）股东回报规划</w:t>
      </w:r>
    </w:p>
    <w:p w:rsidR="00104E3A" w:rsidRPr="00104E3A" w:rsidRDefault="00104E3A" w:rsidP="00104E3A">
      <w:pPr>
        <w:widowControl/>
        <w:shd w:val="clear" w:color="auto" w:fill="FFFFFF"/>
        <w:jc w:val="center"/>
        <w:rPr>
          <w:rFonts w:ascii="黑体" w:eastAsia="黑体" w:hAnsi="黑体" w:cs="Arial"/>
          <w:color w:val="000000"/>
          <w:kern w:val="0"/>
          <w:sz w:val="30"/>
          <w:szCs w:val="30"/>
        </w:rPr>
      </w:pPr>
    </w:p>
    <w:p w:rsidR="00104E3A" w:rsidRPr="00104E3A" w:rsidRDefault="00104E3A" w:rsidP="00104E3A">
      <w:pPr>
        <w:widowControl/>
        <w:shd w:val="clear" w:color="auto" w:fill="FFFFFF"/>
        <w:ind w:firstLineChars="210" w:firstLine="588"/>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广州恒运企业集团股份有限公司（以下简称“公司”）在关注自身发展的同时高度重视股东的合理回报。根据中国证监会《上市公司监管指引第3号——上市公司现金分红》、《关于进一步落实上市公司现金分红有关事项的通知》及广东证监局《关于进一步落实上市公司分红相关规定的通知》文件的要求，综合考虑企业盈利能力、经营发展规划、股东回报、社会资金成本以及外部融资环境等因素，公司董事会制定了《公司未来三年（2024年-2026年）股东回报规划》（以下简称“本规划”）。</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本规划的制定原则</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公司应积极实施连续、稳定的股利分配政策，公司股利分配应重视对投资者的合理投资回报，并兼顾公司的可持续发展。未来三年内，公司将采取现金为主、多种形式方式分配利润。</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公司制定本规划考虑的因素</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公司未来三年股东回报规划是在综合分析企业目前及未来盈利规模、经营发展规划、现金流量状况、项目投资资金需求、社会资金成本等因素的基础上，平衡股东的短期利益和长期利益的基础上做出的安排。</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公司未来三年（202</w:t>
      </w:r>
      <w:r>
        <w:rPr>
          <w:rFonts w:ascii="仿宋" w:eastAsia="仿宋" w:hAnsi="仿宋" w:cs="Arial" w:hint="eastAsia"/>
          <w:b/>
          <w:color w:val="000000"/>
          <w:kern w:val="0"/>
          <w:sz w:val="28"/>
          <w:szCs w:val="28"/>
        </w:rPr>
        <w:t>4</w:t>
      </w:r>
      <w:r w:rsidRPr="00104E3A">
        <w:rPr>
          <w:rFonts w:ascii="仿宋" w:eastAsia="仿宋" w:hAnsi="仿宋" w:cs="Arial"/>
          <w:b/>
          <w:color w:val="000000"/>
          <w:kern w:val="0"/>
          <w:sz w:val="28"/>
          <w:szCs w:val="28"/>
        </w:rPr>
        <w:t>年—202</w:t>
      </w:r>
      <w:r>
        <w:rPr>
          <w:rFonts w:ascii="仿宋" w:eastAsia="仿宋" w:hAnsi="仿宋" w:cs="Arial" w:hint="eastAsia"/>
          <w:b/>
          <w:color w:val="000000"/>
          <w:kern w:val="0"/>
          <w:sz w:val="28"/>
          <w:szCs w:val="28"/>
        </w:rPr>
        <w:t>6</w:t>
      </w:r>
      <w:r w:rsidRPr="00104E3A">
        <w:rPr>
          <w:rFonts w:ascii="仿宋" w:eastAsia="仿宋" w:hAnsi="仿宋" w:cs="Arial"/>
          <w:b/>
          <w:color w:val="000000"/>
          <w:kern w:val="0"/>
          <w:sz w:val="28"/>
          <w:szCs w:val="28"/>
        </w:rPr>
        <w:t>年）的具体股东回报规划：</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lastRenderedPageBreak/>
        <w:t>1、当年实现的归属于上市公司股东的净利润为正数且当年末累计可分配利润为正数时，公司可以采取现金、股票或现金与股票相结合方式分配股利，可以进行中期现金分红。</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2、未来三年内，公司将积极采取现金方式分配利润。在符合相关法律法规及公司章程和制度的有关规定和条件下，在公司盈利、现金</w:t>
      </w:r>
      <w:proofErr w:type="gramStart"/>
      <w:r w:rsidRPr="00104E3A">
        <w:rPr>
          <w:rFonts w:ascii="仿宋" w:eastAsia="仿宋" w:hAnsi="仿宋" w:cs="Arial"/>
          <w:color w:val="000000"/>
          <w:kern w:val="0"/>
          <w:sz w:val="28"/>
          <w:szCs w:val="28"/>
        </w:rPr>
        <w:t>流满足</w:t>
      </w:r>
      <w:proofErr w:type="gramEnd"/>
      <w:r w:rsidRPr="00104E3A">
        <w:rPr>
          <w:rFonts w:ascii="仿宋" w:eastAsia="仿宋" w:hAnsi="仿宋" w:cs="Arial"/>
          <w:color w:val="000000"/>
          <w:kern w:val="0"/>
          <w:sz w:val="28"/>
          <w:szCs w:val="28"/>
        </w:rPr>
        <w:t>公司正常经营需要且无重大投资计划的情况下，未来三年内，公司每年以现金方式累计分配的利润原则上不少于母公司当年税后利润弥补以前年度亏损及提取法定盈余公积金后结余的可分配利润的百分之三十。</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3、根据公司长远和可持续发展的实际情况，董事会认为以股票股利方式分配利润符合全体股东的整体利益时，公司可以采用股票股利方式进行利润分配。</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本规划自公司股东大会审议通过之日起生效。</w:t>
      </w:r>
    </w:p>
    <w:p w:rsidR="00104E3A" w:rsidRPr="00104E3A" w:rsidRDefault="00104E3A" w:rsidP="00104E3A">
      <w:pPr>
        <w:pStyle w:val="a3"/>
        <w:widowControl/>
        <w:shd w:val="clear" w:color="auto" w:fill="FFFFFF"/>
        <w:ind w:firstLineChars="210" w:firstLine="588"/>
        <w:jc w:val="left"/>
        <w:rPr>
          <w:rFonts w:ascii="仿宋" w:eastAsia="仿宋" w:hAnsi="仿宋" w:cs="Arial"/>
          <w:color w:val="000000"/>
          <w:kern w:val="0"/>
          <w:sz w:val="28"/>
          <w:szCs w:val="28"/>
        </w:rPr>
      </w:pPr>
    </w:p>
    <w:p w:rsidR="00104E3A" w:rsidRPr="00104E3A" w:rsidRDefault="00104E3A" w:rsidP="00104E3A">
      <w:pPr>
        <w:widowControl/>
        <w:shd w:val="clear" w:color="auto" w:fill="FFFFFF"/>
        <w:ind w:firstLineChars="210" w:firstLine="588"/>
        <w:jc w:val="right"/>
        <w:rPr>
          <w:rFonts w:ascii="仿宋" w:eastAsia="仿宋" w:hAnsi="仿宋" w:cs="Arial"/>
          <w:color w:val="000000"/>
          <w:kern w:val="0"/>
          <w:sz w:val="28"/>
          <w:szCs w:val="28"/>
        </w:rPr>
      </w:pPr>
      <w:bookmarkStart w:id="0" w:name="_GoBack"/>
      <w:bookmarkEnd w:id="0"/>
      <w:r w:rsidRPr="00104E3A">
        <w:rPr>
          <w:rFonts w:ascii="仿宋" w:eastAsia="仿宋" w:hAnsi="仿宋" w:cs="Arial"/>
          <w:color w:val="000000"/>
          <w:kern w:val="0"/>
          <w:sz w:val="28"/>
          <w:szCs w:val="28"/>
        </w:rPr>
        <w:t>广州恒运企业集团股份有限公司董事会</w:t>
      </w:r>
    </w:p>
    <w:p w:rsidR="00104E3A" w:rsidRPr="00104E3A" w:rsidRDefault="00104E3A" w:rsidP="00104E3A">
      <w:pPr>
        <w:widowControl/>
        <w:shd w:val="clear" w:color="auto" w:fill="FFFFFF"/>
        <w:ind w:firstLineChars="210" w:firstLine="588"/>
        <w:jc w:val="right"/>
        <w:rPr>
          <w:rFonts w:ascii="仿宋" w:eastAsia="仿宋" w:hAnsi="仿宋" w:cs="Arial"/>
          <w:color w:val="000000"/>
          <w:kern w:val="0"/>
          <w:sz w:val="28"/>
          <w:szCs w:val="28"/>
        </w:rPr>
      </w:pPr>
      <w:r w:rsidRPr="00552C30">
        <w:rPr>
          <w:rFonts w:ascii="仿宋" w:eastAsia="仿宋" w:hAnsi="仿宋" w:cs="Arial"/>
          <w:color w:val="000000"/>
          <w:kern w:val="0"/>
          <w:sz w:val="28"/>
          <w:szCs w:val="28"/>
        </w:rPr>
        <w:t>202</w:t>
      </w:r>
      <w:r w:rsidRPr="00552C30">
        <w:rPr>
          <w:rFonts w:ascii="仿宋" w:eastAsia="仿宋" w:hAnsi="仿宋" w:cs="Arial" w:hint="eastAsia"/>
          <w:color w:val="000000"/>
          <w:kern w:val="0"/>
          <w:sz w:val="28"/>
          <w:szCs w:val="28"/>
        </w:rPr>
        <w:t>4</w:t>
      </w:r>
      <w:r w:rsidRPr="00552C30">
        <w:rPr>
          <w:rFonts w:ascii="仿宋" w:eastAsia="仿宋" w:hAnsi="仿宋" w:cs="Arial"/>
          <w:color w:val="000000"/>
          <w:kern w:val="0"/>
          <w:sz w:val="28"/>
          <w:szCs w:val="28"/>
        </w:rPr>
        <w:t>年</w:t>
      </w:r>
      <w:r w:rsidRPr="00552C30">
        <w:rPr>
          <w:rFonts w:ascii="仿宋" w:eastAsia="仿宋" w:hAnsi="仿宋" w:cs="Arial" w:hint="eastAsia"/>
          <w:color w:val="000000"/>
          <w:kern w:val="0"/>
          <w:sz w:val="28"/>
          <w:szCs w:val="28"/>
        </w:rPr>
        <w:t>5</w:t>
      </w:r>
      <w:r w:rsidRPr="00552C30">
        <w:rPr>
          <w:rFonts w:ascii="仿宋" w:eastAsia="仿宋" w:hAnsi="仿宋" w:cs="Arial"/>
          <w:color w:val="000000"/>
          <w:kern w:val="0"/>
          <w:sz w:val="28"/>
          <w:szCs w:val="28"/>
        </w:rPr>
        <w:t>月</w:t>
      </w:r>
      <w:r w:rsidR="00552C30" w:rsidRPr="00552C30">
        <w:rPr>
          <w:rFonts w:ascii="仿宋" w:eastAsia="仿宋" w:hAnsi="仿宋" w:cs="Arial"/>
          <w:color w:val="000000"/>
          <w:kern w:val="0"/>
          <w:sz w:val="28"/>
          <w:szCs w:val="28"/>
        </w:rPr>
        <w:t>31</w:t>
      </w:r>
      <w:r w:rsidRPr="00552C30">
        <w:rPr>
          <w:rFonts w:ascii="仿宋" w:eastAsia="仿宋" w:hAnsi="仿宋" w:cs="Arial"/>
          <w:color w:val="000000"/>
          <w:kern w:val="0"/>
          <w:sz w:val="28"/>
          <w:szCs w:val="28"/>
        </w:rPr>
        <w:t>日</w:t>
      </w:r>
    </w:p>
    <w:p w:rsidR="00395863" w:rsidRPr="00104E3A" w:rsidRDefault="00395863" w:rsidP="00104E3A">
      <w:pPr>
        <w:ind w:firstLineChars="210" w:firstLine="588"/>
        <w:jc w:val="right"/>
        <w:rPr>
          <w:rFonts w:ascii="仿宋" w:eastAsia="仿宋" w:hAnsi="仿宋"/>
          <w:sz w:val="28"/>
          <w:szCs w:val="28"/>
        </w:rPr>
      </w:pPr>
    </w:p>
    <w:sectPr w:rsidR="00395863" w:rsidRPr="00104E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4EC"/>
    <w:rsid w:val="00104E3A"/>
    <w:rsid w:val="002571E6"/>
    <w:rsid w:val="00395863"/>
    <w:rsid w:val="00552C30"/>
    <w:rsid w:val="00D70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FDF5"/>
  <w15:docId w15:val="{39EB6AC3-D483-4A14-95C5-30227C08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E3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079827">
      <w:bodyDiv w:val="1"/>
      <w:marLeft w:val="0"/>
      <w:marRight w:val="0"/>
      <w:marTop w:val="0"/>
      <w:marBottom w:val="0"/>
      <w:divBdr>
        <w:top w:val="none" w:sz="0" w:space="0" w:color="auto"/>
        <w:left w:val="none" w:sz="0" w:space="0" w:color="auto"/>
        <w:bottom w:val="none" w:sz="0" w:space="0" w:color="auto"/>
        <w:right w:val="none" w:sz="0" w:space="0" w:color="auto"/>
      </w:divBdr>
      <w:divsChild>
        <w:div w:id="1277373593">
          <w:marLeft w:val="0"/>
          <w:marRight w:val="0"/>
          <w:marTop w:val="75"/>
          <w:marBottom w:val="75"/>
          <w:divBdr>
            <w:top w:val="none" w:sz="0" w:space="0" w:color="auto"/>
            <w:left w:val="none" w:sz="0" w:space="0" w:color="auto"/>
            <w:bottom w:val="none" w:sz="0" w:space="0" w:color="auto"/>
            <w:right w:val="none" w:sz="0" w:space="0" w:color="auto"/>
          </w:divBdr>
          <w:divsChild>
            <w:div w:id="29688611">
              <w:marLeft w:val="0"/>
              <w:marRight w:val="0"/>
              <w:marTop w:val="0"/>
              <w:marBottom w:val="0"/>
              <w:divBdr>
                <w:top w:val="none" w:sz="0" w:space="0" w:color="auto"/>
                <w:left w:val="none" w:sz="0" w:space="0" w:color="auto"/>
                <w:bottom w:val="none" w:sz="0" w:space="0" w:color="auto"/>
                <w:right w:val="none" w:sz="0" w:space="0" w:color="auto"/>
              </w:divBdr>
            </w:div>
          </w:divsChild>
        </w:div>
        <w:div w:id="666372158">
          <w:marLeft w:val="0"/>
          <w:marRight w:val="0"/>
          <w:marTop w:val="75"/>
          <w:marBottom w:val="75"/>
          <w:divBdr>
            <w:top w:val="none" w:sz="0" w:space="0" w:color="auto"/>
            <w:left w:val="none" w:sz="0" w:space="0" w:color="auto"/>
            <w:bottom w:val="none" w:sz="0" w:space="0" w:color="auto"/>
            <w:right w:val="none" w:sz="0" w:space="0" w:color="auto"/>
          </w:divBdr>
          <w:divsChild>
            <w:div w:id="19155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5381">
      <w:bodyDiv w:val="1"/>
      <w:marLeft w:val="0"/>
      <w:marRight w:val="0"/>
      <w:marTop w:val="0"/>
      <w:marBottom w:val="0"/>
      <w:divBdr>
        <w:top w:val="none" w:sz="0" w:space="0" w:color="auto"/>
        <w:left w:val="none" w:sz="0" w:space="0" w:color="auto"/>
        <w:bottom w:val="none" w:sz="0" w:space="0" w:color="auto"/>
        <w:right w:val="none" w:sz="0" w:space="0" w:color="auto"/>
      </w:divBdr>
      <w:divsChild>
        <w:div w:id="439497181">
          <w:marLeft w:val="0"/>
          <w:marRight w:val="0"/>
          <w:marTop w:val="75"/>
          <w:marBottom w:val="75"/>
          <w:divBdr>
            <w:top w:val="none" w:sz="0" w:space="0" w:color="auto"/>
            <w:left w:val="none" w:sz="0" w:space="0" w:color="auto"/>
            <w:bottom w:val="none" w:sz="0" w:space="0" w:color="auto"/>
            <w:right w:val="none" w:sz="0" w:space="0" w:color="auto"/>
          </w:divBdr>
          <w:divsChild>
            <w:div w:id="1243370005">
              <w:marLeft w:val="0"/>
              <w:marRight w:val="0"/>
              <w:marTop w:val="0"/>
              <w:marBottom w:val="0"/>
              <w:divBdr>
                <w:top w:val="none" w:sz="0" w:space="0" w:color="auto"/>
                <w:left w:val="none" w:sz="0" w:space="0" w:color="auto"/>
                <w:bottom w:val="none" w:sz="0" w:space="0" w:color="auto"/>
                <w:right w:val="none" w:sz="0" w:space="0" w:color="auto"/>
              </w:divBdr>
            </w:div>
          </w:divsChild>
        </w:div>
        <w:div w:id="1868517048">
          <w:marLeft w:val="0"/>
          <w:marRight w:val="0"/>
          <w:marTop w:val="75"/>
          <w:marBottom w:val="75"/>
          <w:divBdr>
            <w:top w:val="none" w:sz="0" w:space="0" w:color="auto"/>
            <w:left w:val="none" w:sz="0" w:space="0" w:color="auto"/>
            <w:bottom w:val="none" w:sz="0" w:space="0" w:color="auto"/>
            <w:right w:val="none" w:sz="0" w:space="0" w:color="auto"/>
          </w:divBdr>
          <w:divsChild>
            <w:div w:id="2482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125</Words>
  <Characters>718</Characters>
  <Application>Microsoft Office Word</Application>
  <DocSecurity>0</DocSecurity>
  <Lines>5</Lines>
  <Paragraphs>1</Paragraphs>
  <ScaleCrop>false</ScaleCrop>
  <Company>HP Inc.</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陈韵怡</dc:creator>
  <cp:keywords/>
  <dc:description/>
  <cp:lastModifiedBy>廖铁强</cp:lastModifiedBy>
  <cp:revision>3</cp:revision>
  <dcterms:created xsi:type="dcterms:W3CDTF">2024-04-28T09:08:00Z</dcterms:created>
  <dcterms:modified xsi:type="dcterms:W3CDTF">2024-05-20T06:24:00Z</dcterms:modified>
</cp:coreProperties>
</file>